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CC4AE" w14:textId="77777777" w:rsidR="00AE629A" w:rsidRDefault="009931EB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C121B21" w14:textId="7CDACFB9" w:rsidR="00AE629A" w:rsidRDefault="009931EB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="00A925FE">
        <w:rPr>
          <w:rFonts w:cs="Arial"/>
          <w:color w:val="808080"/>
          <w:szCs w:val="20"/>
          <w:lang w:eastAsia="hu-HU"/>
        </w:rPr>
        <w:t>Budapest, 2019-07-25</w:t>
      </w:r>
    </w:p>
    <w:p w14:paraId="0DA7AB9D" w14:textId="77777777" w:rsidR="00AE629A" w:rsidRDefault="00AE629A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46F6BCA" w14:textId="77777777" w:rsidR="00AE629A" w:rsidRDefault="009931EB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>Már pálinka-turisztikát is tanulhatunk az egyetemen</w:t>
      </w:r>
    </w:p>
    <w:p w14:paraId="718728B4" w14:textId="77777777" w:rsidR="00AE629A" w:rsidRDefault="00AE629A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69317933" w14:textId="00E8CF1E" w:rsidR="00AE629A" w:rsidRDefault="009931EB">
      <w:pPr>
        <w:spacing w:after="0" w:line="276" w:lineRule="auto"/>
        <w:ind w:left="-567"/>
        <w:jc w:val="both"/>
      </w:pPr>
      <w:r>
        <w:rPr>
          <w:rFonts w:cs="Arial"/>
          <w:b/>
          <w:color w:val="808080"/>
          <w:szCs w:val="20"/>
          <w:lang w:eastAsia="hu-HU"/>
        </w:rPr>
        <w:t xml:space="preserve">Pálinka-turisztikai szakirányú </w:t>
      </w:r>
      <w:r w:rsidR="00C7244E">
        <w:rPr>
          <w:rFonts w:cs="Arial"/>
          <w:b/>
          <w:color w:val="808080"/>
          <w:szCs w:val="20"/>
          <w:lang w:eastAsia="hu-HU"/>
        </w:rPr>
        <w:t>tovább</w:t>
      </w:r>
      <w:r>
        <w:rPr>
          <w:rFonts w:cs="Arial"/>
          <w:b/>
          <w:color w:val="808080"/>
          <w:szCs w:val="20"/>
          <w:lang w:eastAsia="hu-HU"/>
        </w:rPr>
        <w:t xml:space="preserve">képzést indít a Budapesti Metropolitan Egyetem (METU). </w:t>
      </w:r>
      <w:r>
        <w:rPr>
          <w:rFonts w:cs="Arial"/>
          <w:b/>
          <w:bCs/>
          <w:color w:val="808080"/>
          <w:szCs w:val="20"/>
          <w:lang w:eastAsia="hu-HU"/>
        </w:rPr>
        <w:t xml:space="preserve">Az országban egyedülálló képzés 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 xml:space="preserve">felkészíti a </w:t>
      </w:r>
      <w:r>
        <w:rPr>
          <w:rFonts w:cs="Arial"/>
          <w:b/>
          <w:bCs/>
          <w:color w:val="808080"/>
          <w:szCs w:val="20"/>
          <w:lang w:eastAsia="hu-HU"/>
        </w:rPr>
        <w:t xml:space="preserve">résztvevőket </w:t>
      </w:r>
      <w:r>
        <w:rPr>
          <w:rFonts w:cs="Arial"/>
          <w:b/>
          <w:bCs/>
          <w:color w:val="808080" w:themeColor="background1" w:themeShade="80"/>
          <w:szCs w:val="20"/>
          <w:lang w:eastAsia="hu-HU"/>
        </w:rPr>
        <w:t>arra, hogy – a borhoz hasonlóan – a magyar nemzeti ital, a pálinka is méltó rangot kapjon a gasztronómiai és turisztikai programok tervezésekor.</w:t>
      </w:r>
    </w:p>
    <w:p w14:paraId="2A038474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63FD1155" w14:textId="27269AFE" w:rsidR="00AE629A" w:rsidRDefault="009931EB">
      <w:pPr>
        <w:spacing w:after="0" w:line="276" w:lineRule="auto"/>
        <w:ind w:left="-567"/>
        <w:jc w:val="both"/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Legyen szó ír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whiskey-ről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, német sörökről vagy kubai rumról, világszerte több helyen építenek turisztikai programokat egy-egy minőségi alkoholos italra. Magyarországon a pálinkaturizmusban is remek lehetőségek </w:t>
      </w:r>
      <w:r w:rsidR="00C7244E">
        <w:rPr>
          <w:rFonts w:cs="Arial"/>
          <w:color w:val="808080" w:themeColor="background1" w:themeShade="80"/>
          <w:szCs w:val="20"/>
          <w:lang w:eastAsia="hu-HU"/>
        </w:rPr>
        <w:t>rejlenek</w:t>
      </w:r>
      <w:r>
        <w:rPr>
          <w:rFonts w:cs="Arial"/>
          <w:color w:val="808080" w:themeColor="background1" w:themeShade="80"/>
          <w:szCs w:val="20"/>
          <w:lang w:eastAsia="hu-HU"/>
        </w:rPr>
        <w:t>, de ehhez a megfelelő minőségű pálinka mellett szükséges kialakítani a teljes élményláncra felfűzött vonzó turisztikai kínálatot az ital köré épített rendezvényekkel, megfelelő kiszolgálással és átgondolt kísérőprogramokkal.</w:t>
      </w:r>
    </w:p>
    <w:p w14:paraId="7E8ED6BF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48D15AAB" w14:textId="0F14D320" w:rsidR="00AE629A" w:rsidRDefault="009931EB">
      <w:pPr>
        <w:spacing w:after="0" w:line="276" w:lineRule="auto"/>
        <w:ind w:left="-567"/>
        <w:jc w:val="both"/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Tavaly Magyarországon közel nyolcszáz bérfőzde és kereskedelmi pálinkafőzde működött. A magyar főzdék magas minőségű, kiváló termékeket állítanak elő, emellé azonban még hiányzik az a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gasztroturisztikai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tapasztalat, tudás és emberi erőforrás, amivel a pálinka</w:t>
      </w:r>
      <w:r w:rsidR="00C7244E">
        <w:rPr>
          <w:rFonts w:cs="Arial"/>
          <w:color w:val="808080" w:themeColor="background1" w:themeShade="80"/>
          <w:szCs w:val="20"/>
          <w:lang w:eastAsia="hu-HU"/>
        </w:rPr>
        <w:t>,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mint nemzeti ital a trendeket követő, az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országmárkát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erősítő, fenntartható és sikeres turisztikai termékké fejleszthető.</w:t>
      </w:r>
    </w:p>
    <w:p w14:paraId="22902093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0E3E61B3" w14:textId="1663F39B" w:rsidR="00AE629A" w:rsidRPr="00A925FE" w:rsidRDefault="009931EB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i/>
          <w:iCs/>
          <w:color w:val="808080" w:themeColor="background1" w:themeShade="80"/>
          <w:szCs w:val="20"/>
          <w:lang w:eastAsia="hu-HU"/>
        </w:rPr>
        <w:t xml:space="preserve">„Folyamatosan figyeljük a </w:t>
      </w:r>
      <w:proofErr w:type="spellStart"/>
      <w:r>
        <w:rPr>
          <w:rFonts w:cs="Arial"/>
          <w:i/>
          <w:iCs/>
          <w:color w:val="808080" w:themeColor="background1" w:themeShade="80"/>
          <w:szCs w:val="20"/>
          <w:lang w:eastAsia="hu-HU"/>
        </w:rPr>
        <w:t>munkaerőpiaci</w:t>
      </w:r>
      <w:proofErr w:type="spellEnd"/>
      <w:r>
        <w:rPr>
          <w:rFonts w:cs="Arial"/>
          <w:i/>
          <w:iCs/>
          <w:color w:val="808080" w:themeColor="background1" w:themeShade="80"/>
          <w:szCs w:val="20"/>
          <w:lang w:eastAsia="hu-HU"/>
        </w:rPr>
        <w:t xml:space="preserve"> réseket, és ezekre reflektálva rugalmasan alakítjuk ki képzési kínálatunkat. A </w:t>
      </w:r>
      <w:r w:rsidR="00124869">
        <w:rPr>
          <w:rFonts w:cs="Arial"/>
          <w:i/>
          <w:iCs/>
          <w:color w:val="808080" w:themeColor="background1" w:themeShade="80"/>
          <w:szCs w:val="20"/>
          <w:lang w:eastAsia="hu-HU"/>
        </w:rPr>
        <w:t>hazai pálinka</w:t>
      </w:r>
      <w:r w:rsidR="00293A17">
        <w:rPr>
          <w:rFonts w:cs="Arial"/>
          <w:i/>
          <w:iCs/>
          <w:color w:val="808080" w:themeColor="background1" w:themeShade="80"/>
          <w:szCs w:val="20"/>
          <w:lang w:eastAsia="hu-HU"/>
        </w:rPr>
        <w:t>ágazat</w:t>
      </w:r>
      <w:r w:rsidR="00124869">
        <w:rPr>
          <w:rFonts w:cs="Arial"/>
          <w:i/>
          <w:iCs/>
          <w:color w:val="808080" w:themeColor="background1" w:themeShade="80"/>
          <w:szCs w:val="20"/>
          <w:lang w:eastAsia="hu-HU"/>
        </w:rPr>
        <w:t xml:space="preserve"> </w:t>
      </w:r>
      <w:r>
        <w:rPr>
          <w:rFonts w:cs="Arial"/>
          <w:i/>
          <w:iCs/>
          <w:color w:val="808080" w:themeColor="background1" w:themeShade="80"/>
          <w:szCs w:val="20"/>
          <w:lang w:eastAsia="hu-HU"/>
        </w:rPr>
        <w:t>régi igénye a megfelelő turisztikai szakembergárda, örülünk, hogy az egyetemen most alkalmunk nyílt megteremteni ehhez az oktatási hátteret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– mondta </w:t>
      </w:r>
      <w:r w:rsidR="00A925FE" w:rsidRPr="00A925FE">
        <w:rPr>
          <w:rFonts w:cs="Arial"/>
          <w:color w:val="808080" w:themeColor="background1" w:themeShade="80"/>
          <w:szCs w:val="20"/>
          <w:lang w:eastAsia="hu-HU"/>
        </w:rPr>
        <w:t>Bachmann Bálint</w:t>
      </w:r>
      <w:r w:rsidRPr="00A925FE">
        <w:rPr>
          <w:rFonts w:cs="Arial"/>
          <w:color w:val="808080" w:themeColor="background1" w:themeShade="80"/>
          <w:szCs w:val="20"/>
          <w:lang w:eastAsia="hu-HU"/>
        </w:rPr>
        <w:t>, a Bu</w:t>
      </w:r>
      <w:r w:rsidR="00A925FE" w:rsidRPr="00A925FE">
        <w:rPr>
          <w:rFonts w:cs="Arial"/>
          <w:color w:val="808080" w:themeColor="background1" w:themeShade="80"/>
          <w:szCs w:val="20"/>
          <w:lang w:eastAsia="hu-HU"/>
        </w:rPr>
        <w:t>dapesti Metropolitan Egyetem rektora.</w:t>
      </w:r>
    </w:p>
    <w:p w14:paraId="0A36CFA5" w14:textId="77777777" w:rsidR="00AE629A" w:rsidRDefault="00AE629A">
      <w:pPr>
        <w:spacing w:after="0" w:line="276" w:lineRule="auto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73C8A895" w14:textId="7A03DFE6" w:rsidR="00AE629A" w:rsidRDefault="009931EB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  <w:t>A METU képzése egyedülálló: pálinkára</w:t>
      </w:r>
      <w:r w:rsidR="00C7244E">
        <w:rPr>
          <w:rFonts w:cs="Arial"/>
          <w:color w:val="808080" w:themeColor="background1" w:themeShade="80"/>
          <w:szCs w:val="20"/>
          <w:lang w:eastAsia="hu-HU"/>
        </w:rPr>
        <w:t>,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mint turisztikai termékre specializált oktatás nincsen az országban. Az itt végző </w:t>
      </w:r>
      <w:r w:rsidR="00833EF8">
        <w:rPr>
          <w:rFonts w:cs="Arial"/>
          <w:color w:val="808080" w:themeColor="background1" w:themeShade="80"/>
          <w:szCs w:val="20"/>
          <w:lang w:eastAsia="hu-HU"/>
        </w:rPr>
        <w:t>hallgatók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többek közt turisztikai szervezeteknél, pálinkafőzdék marketingszakembereként, borászatoknál, bormarketinggel, borturizmussal foglalkozó szervezeteknél,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borrérgiók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szervezeteinél, szállodákban, éttermekben,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országmárkával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és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hungarikumokkal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foglalkozó szervezeteknél tudnak majd elhelyezkedni.</w:t>
      </w:r>
    </w:p>
    <w:p w14:paraId="73F84C72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1799960C" w14:textId="77777777" w:rsidR="00AE629A" w:rsidRDefault="009931EB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A szakirányú továbbképzés a turizmus és a vendéglátás alapjai mellett betekintést nyújt az ételek és italok párosításának ismereteibe, a pálinkabírálat alapjaiba. A résztvevők tanulnak a pálinka alapanyagairól, a gyümölcsökről, az előállítás módszereiről, a világ párlatairól, a pálinka történetéről, és megismerkednek </w:t>
      </w:r>
      <w:proofErr w:type="gramStart"/>
      <w:r>
        <w:rPr>
          <w:rFonts w:cs="Arial"/>
          <w:color w:val="808080" w:themeColor="background1" w:themeShade="80"/>
          <w:szCs w:val="20"/>
          <w:lang w:eastAsia="hu-HU"/>
        </w:rPr>
        <w:t>a</w:t>
      </w:r>
      <w:proofErr w:type="gramEnd"/>
      <w:r>
        <w:rPr>
          <w:rFonts w:cs="Arial"/>
          <w:color w:val="808080" w:themeColor="background1" w:themeShade="80"/>
          <w:szCs w:val="20"/>
          <w:lang w:eastAsia="hu-HU"/>
        </w:rPr>
        <w:t xml:space="preserve"> </w:t>
      </w:r>
      <w:proofErr w:type="gramStart"/>
      <w:r>
        <w:rPr>
          <w:rFonts w:cs="Arial"/>
          <w:color w:val="808080" w:themeColor="background1" w:themeShade="80"/>
          <w:szCs w:val="20"/>
          <w:lang w:eastAsia="hu-HU"/>
        </w:rPr>
        <w:t>pálinka</w:t>
      </w:r>
      <w:proofErr w:type="gramEnd"/>
      <w:r>
        <w:rPr>
          <w:rFonts w:cs="Arial"/>
          <w:color w:val="808080" w:themeColor="background1" w:themeShade="80"/>
          <w:szCs w:val="20"/>
          <w:lang w:eastAsia="hu-HU"/>
        </w:rPr>
        <w:t xml:space="preserve"> jogszabályi és intézményrendszerével, kereskedelmével is. Feltérképezik az ország gasztronómiai régióit, és így képesek lesznek a pálinkával kapcsolatos turisztikai termékfejlesztésre.</w:t>
      </w:r>
    </w:p>
    <w:p w14:paraId="7A1DFBBC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6B4F5008" w14:textId="4AD77A37" w:rsidR="00AE629A" w:rsidRDefault="009931EB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  <w:lastRenderedPageBreak/>
        <w:t>A képzés támogatója a Pálinka Nemzeti Tanács, illetve turisztikai szolgáltatókén</w:t>
      </w:r>
      <w:r w:rsidR="00E54315">
        <w:rPr>
          <w:rFonts w:cs="Arial"/>
          <w:color w:val="808080" w:themeColor="background1" w:themeShade="80"/>
          <w:szCs w:val="20"/>
          <w:lang w:eastAsia="hu-HU"/>
        </w:rPr>
        <w:t>t a Budapesti Pálinka Múzeum, de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hamarosan </w:t>
      </w:r>
      <w:r w:rsidR="00E54315">
        <w:rPr>
          <w:rFonts w:cs="Arial"/>
          <w:color w:val="808080" w:themeColor="background1" w:themeShade="80"/>
          <w:szCs w:val="20"/>
          <w:lang w:eastAsia="hu-HU"/>
        </w:rPr>
        <w:t>további neves szakmai szervezetek is csatlakoznak a már meglévő partnerekhez.</w:t>
      </w:r>
    </w:p>
    <w:p w14:paraId="5CBE431B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bookmarkStart w:id="0" w:name="_GoBack"/>
      <w:bookmarkEnd w:id="0"/>
    </w:p>
    <w:p w14:paraId="0A215AEC" w14:textId="77777777" w:rsidR="00AE629A" w:rsidRDefault="009931EB">
      <w:pPr>
        <w:spacing w:after="0" w:line="276" w:lineRule="auto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Az ősszel induló, egyéves szakirányú továbbképzés hallgatói a legjobb turisztikai és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gasztronómai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szakemberektől tanulhatnak. A szak elindítója Nagy Ildikó mestertanár, a protokoll szaktanácsadó-rendezvényszervező szakirányú továbbképzés vezetője. Menedzsere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Ocsenás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 Katalin, az Agárdi Pálinkafőzde korábbi kommunikációs vezetője és marketing-szakembere, aki jelenleg egy kulturális központ igazgatójaként, fesztiválok szervezőjeként dolgozik a Velencei-tó kulturális és </w:t>
      </w:r>
      <w:proofErr w:type="spellStart"/>
      <w:r>
        <w:rPr>
          <w:rFonts w:cs="Arial"/>
          <w:color w:val="808080" w:themeColor="background1" w:themeShade="80"/>
          <w:szCs w:val="20"/>
          <w:lang w:eastAsia="hu-HU"/>
        </w:rPr>
        <w:t>gasztroturizmusán</w:t>
      </w:r>
      <w:proofErr w:type="spellEnd"/>
      <w:r>
        <w:rPr>
          <w:rFonts w:cs="Arial"/>
          <w:color w:val="808080" w:themeColor="background1" w:themeShade="80"/>
          <w:szCs w:val="20"/>
          <w:lang w:eastAsia="hu-HU"/>
        </w:rPr>
        <w:t xml:space="preserve">. </w:t>
      </w:r>
    </w:p>
    <w:p w14:paraId="3CA9C9BB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8ACD509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/>
          <w:lang w:eastAsia="hu-HU"/>
        </w:rPr>
      </w:pPr>
    </w:p>
    <w:p w14:paraId="7975ACC2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2717D4C" w14:textId="77777777" w:rsidR="00AE629A" w:rsidRDefault="009931E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3C64AFD9" w14:textId="4B4A9185" w:rsidR="00AE629A" w:rsidRPr="006E5681" w:rsidRDefault="009931EB" w:rsidP="006E5681">
      <w:pPr>
        <w:spacing w:after="0" w:line="276" w:lineRule="auto"/>
        <w:ind w:left="-567"/>
      </w:pPr>
      <w:r>
        <w:rPr>
          <w:rFonts w:cs="Arial"/>
          <w:color w:val="808080"/>
          <w:szCs w:val="20"/>
          <w:lang w:eastAsia="hu-HU"/>
        </w:rPr>
        <w:t>+36 1 312 7289</w:t>
      </w:r>
    </w:p>
    <w:p w14:paraId="7DBAEF58" w14:textId="77777777" w:rsidR="00AE629A" w:rsidRDefault="009931E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077D092B" w14:textId="77777777" w:rsidR="00AE629A" w:rsidRDefault="00E54315">
      <w:pPr>
        <w:spacing w:after="0" w:line="276" w:lineRule="auto"/>
        <w:ind w:left="-567"/>
      </w:pPr>
      <w:hyperlink r:id="rId7">
        <w:r w:rsidR="009931EB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931EB">
        <w:rPr>
          <w:rFonts w:cs="Arial"/>
          <w:color w:val="808080"/>
          <w:szCs w:val="20"/>
          <w:lang w:eastAsia="hu-HU"/>
        </w:rPr>
        <w:t xml:space="preserve"> </w:t>
      </w:r>
    </w:p>
    <w:p w14:paraId="62D57662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22B7D8C" w14:textId="77777777" w:rsidR="00AE629A" w:rsidRDefault="00AE629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97C2592" w14:textId="77777777" w:rsidR="00AE629A" w:rsidRDefault="009931EB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3ABA3758" w14:textId="77777777" w:rsidR="00AE629A" w:rsidRDefault="009931EB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</w:t>
      </w:r>
      <w:proofErr w:type="spellStart"/>
      <w:r>
        <w:rPr>
          <w:color w:val="808080"/>
          <w:sz w:val="16"/>
          <w:szCs w:val="16"/>
          <w:u w:color="808080"/>
        </w:rPr>
        <w:t>METU-n</w:t>
      </w:r>
      <w:proofErr w:type="spellEnd"/>
      <w:r>
        <w:rPr>
          <w:color w:val="808080"/>
          <w:sz w:val="16"/>
          <w:szCs w:val="16"/>
          <w:u w:color="808080"/>
        </w:rPr>
        <w:t xml:space="preserve">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6000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14E9F4A0" w14:textId="77777777" w:rsidR="00AE629A" w:rsidRDefault="00AE629A">
      <w:pPr>
        <w:spacing w:after="0" w:line="276" w:lineRule="auto"/>
        <w:ind w:left="-567"/>
        <w:jc w:val="both"/>
      </w:pPr>
    </w:p>
    <w:sectPr w:rsidR="00AE629A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D143" w14:textId="77777777" w:rsidR="00A13EE7" w:rsidRDefault="009931EB">
      <w:pPr>
        <w:spacing w:after="0"/>
      </w:pPr>
      <w:r>
        <w:separator/>
      </w:r>
    </w:p>
  </w:endnote>
  <w:endnote w:type="continuationSeparator" w:id="0">
    <w:p w14:paraId="0D1ABE3B" w14:textId="77777777" w:rsidR="00A13EE7" w:rsidRDefault="009931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E25B" w14:textId="77777777" w:rsidR="00AE629A" w:rsidRDefault="009931EB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66871946" wp14:editId="67E18BF6">
          <wp:extent cx="6842760" cy="1249680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EACDD" w14:textId="77777777" w:rsidR="00A13EE7" w:rsidRDefault="009931EB">
      <w:pPr>
        <w:spacing w:after="0"/>
      </w:pPr>
      <w:r>
        <w:separator/>
      </w:r>
    </w:p>
  </w:footnote>
  <w:footnote w:type="continuationSeparator" w:id="0">
    <w:p w14:paraId="77EADF4C" w14:textId="77777777" w:rsidR="00A13EE7" w:rsidRDefault="009931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7C47" w14:textId="77777777" w:rsidR="00AE629A" w:rsidRDefault="009931E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25BE398D" wp14:editId="0DB2AF17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4A342" w14:textId="77777777" w:rsidR="00AE629A" w:rsidRDefault="00AE62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8D8C" w14:textId="77777777" w:rsidR="00AE629A" w:rsidRDefault="009931E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1AF3C92B" wp14:editId="157938DC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9A"/>
    <w:rsid w:val="00124869"/>
    <w:rsid w:val="001501EE"/>
    <w:rsid w:val="00293A17"/>
    <w:rsid w:val="006E5681"/>
    <w:rsid w:val="00833EF8"/>
    <w:rsid w:val="00984959"/>
    <w:rsid w:val="009931EB"/>
    <w:rsid w:val="00A13EE7"/>
    <w:rsid w:val="00A925FE"/>
    <w:rsid w:val="00AE629A"/>
    <w:rsid w:val="00B00ECA"/>
    <w:rsid w:val="00C7244E"/>
    <w:rsid w:val="00DF608F"/>
    <w:rsid w:val="00E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77CD"/>
  <w15:docId w15:val="{09DB8EF4-E2A2-433B-9B96-AC003E72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uiPriority w:val="99"/>
    <w:unhideWhenUsed/>
    <w:rsid w:val="001853F3"/>
    <w:rPr>
      <w:color w:val="0000FF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eastAsia="Times New Roman" w:cs="Arial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szCs w:val="20"/>
      <w:lang w:eastAsia="hu-H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cs="Arial"/>
      <w:szCs w:val="20"/>
      <w:lang w:eastAsia="hu-HU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Vilgoslista3jellszn1">
    <w:name w:val="Világos lista – 3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72"/>
    <w:qFormat/>
    <w:rsid w:val="006231AB"/>
    <w:pPr>
      <w:ind w:left="720"/>
      <w:contextualSpacing/>
    </w:pPr>
  </w:style>
  <w:style w:type="paragraph" w:customStyle="1" w:styleId="PreformattedText">
    <w:name w:val="Preformatted Text"/>
    <w:basedOn w:val="Norml"/>
    <w:qFormat/>
    <w:pPr>
      <w:spacing w:after="0"/>
    </w:pPr>
    <w:rPr>
      <w:rFonts w:ascii="Liberation Mono" w:eastAsia="Liberation Mono" w:hAnsi="Liberation Mono" w:cs="Liberation Mono"/>
      <w:szCs w:val="20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Liberation Sans"/>
      <w:kern w:val="2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Kpalrs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CmstartalomLTGliederung1">
    <w:name w:val="Cím és tartalom~LT~Gliederung 1"/>
    <w:qFormat/>
    <w:pPr>
      <w:spacing w:before="283" w:line="216" w:lineRule="auto"/>
    </w:pPr>
    <w:rPr>
      <w:rFonts w:ascii="Arial Unicode MS" w:eastAsia="Tahoma" w:hAnsi="Arial Unicode MS" w:cs="Liberation Sans"/>
      <w:color w:val="000000"/>
      <w:kern w:val="2"/>
      <w:sz w:val="56"/>
      <w:szCs w:val="24"/>
    </w:rPr>
  </w:style>
  <w:style w:type="paragraph" w:customStyle="1" w:styleId="CmstartalomLTGliederung2">
    <w:name w:val="Cím és tartalom~LT~Gliederung 2"/>
    <w:basedOn w:val="CmstartalomLTGliederung1"/>
    <w:qFormat/>
    <w:pPr>
      <w:spacing w:before="227"/>
    </w:pPr>
    <w:rPr>
      <w:sz w:val="40"/>
    </w:rPr>
  </w:style>
  <w:style w:type="paragraph" w:customStyle="1" w:styleId="CmstartalomLTGliederung3">
    <w:name w:val="Cím és tartalom~LT~Gliederung 3"/>
    <w:basedOn w:val="CmstartalomLTGliederung2"/>
    <w:qFormat/>
    <w:pPr>
      <w:spacing w:before="170"/>
    </w:pPr>
    <w:rPr>
      <w:sz w:val="36"/>
    </w:rPr>
  </w:style>
  <w:style w:type="paragraph" w:customStyle="1" w:styleId="CmstartalomLTGliederung4">
    <w:name w:val="Cím és tartalom~LT~Gliederung 4"/>
    <w:basedOn w:val="CmstartalomLTGliederung3"/>
    <w:qFormat/>
    <w:pPr>
      <w:spacing w:before="113"/>
    </w:pPr>
  </w:style>
  <w:style w:type="paragraph" w:customStyle="1" w:styleId="CmstartalomLTGliederung5">
    <w:name w:val="Cím és tartalom~LT~Gliederung 5"/>
    <w:basedOn w:val="CmstartalomLTGliederung4"/>
    <w:qFormat/>
    <w:pPr>
      <w:spacing w:before="57"/>
    </w:pPr>
    <w:rPr>
      <w:sz w:val="40"/>
    </w:rPr>
  </w:style>
  <w:style w:type="paragraph" w:customStyle="1" w:styleId="CmstartalomLTGliederung6">
    <w:name w:val="Cím és tartalom~LT~Gliederung 6"/>
    <w:basedOn w:val="CmstartalomLTGliederung5"/>
    <w:qFormat/>
  </w:style>
  <w:style w:type="paragraph" w:customStyle="1" w:styleId="CmstartalomLTGliederung7">
    <w:name w:val="Cím és tartalom~LT~Gliederung 7"/>
    <w:basedOn w:val="CmstartalomLTGliederung6"/>
    <w:qFormat/>
  </w:style>
  <w:style w:type="paragraph" w:customStyle="1" w:styleId="CmstartalomLTGliederung8">
    <w:name w:val="Cím és tartalom~LT~Gliederung 8"/>
    <w:basedOn w:val="CmstartalomLTGliederung7"/>
    <w:qFormat/>
  </w:style>
  <w:style w:type="paragraph" w:customStyle="1" w:styleId="CmstartalomLTGliederung9">
    <w:name w:val="Cím és tartalom~LT~Gliederung 9"/>
    <w:basedOn w:val="CmstartalomLTGliederung8"/>
    <w:qFormat/>
  </w:style>
  <w:style w:type="paragraph" w:customStyle="1" w:styleId="CmstartalomLTTitel">
    <w:name w:val="Cím és tartalom~LT~Titel"/>
    <w:qFormat/>
    <w:pPr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</w:rPr>
  </w:style>
  <w:style w:type="paragraph" w:customStyle="1" w:styleId="CmstartalomLTUntertitel">
    <w:name w:val="Cím és tartalom~LT~Untertitel"/>
    <w:qFormat/>
    <w:pPr>
      <w:jc w:val="center"/>
    </w:pPr>
    <w:rPr>
      <w:rFonts w:ascii="Arial Unicode MS" w:eastAsia="Tahoma" w:hAnsi="Arial Unicode MS" w:cs="Liberation Sans"/>
      <w:kern w:val="2"/>
      <w:sz w:val="64"/>
      <w:szCs w:val="24"/>
    </w:rPr>
  </w:style>
  <w:style w:type="paragraph" w:customStyle="1" w:styleId="CmstartalomLTNotizen">
    <w:name w:val="Cím és tartalom~LT~Notizen"/>
    <w:qFormat/>
    <w:pPr>
      <w:ind w:left="340" w:hanging="340"/>
    </w:pPr>
    <w:rPr>
      <w:rFonts w:ascii="Arial Unicode MS" w:eastAsia="Tahoma" w:hAnsi="Arial Unicode MS" w:cs="Liberation Sans"/>
      <w:kern w:val="2"/>
      <w:sz w:val="40"/>
      <w:szCs w:val="24"/>
    </w:rPr>
  </w:style>
  <w:style w:type="paragraph" w:customStyle="1" w:styleId="CmstartalomLTHintergrundobjekte">
    <w:name w:val="Cím és tartalom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mstartalomLTHintergrund">
    <w:name w:val="Cím és tartalom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 Unicode MS" w:eastAsia="Tahoma" w:hAnsi="Arial Unicode MS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 Unicode MS" w:eastAsia="Tahoma" w:hAnsi="Arial Unicode MS" w:cs="Liberation Sans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Arial Unicode MS" w:eastAsia="Tahoma" w:hAnsi="Arial Unicode MS" w:cs="Liberation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13CA-C0B5-440D-82B4-53710504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Varga Dóra</cp:lastModifiedBy>
  <cp:revision>5</cp:revision>
  <cp:lastPrinted>2019-02-20T10:28:00Z</cp:lastPrinted>
  <dcterms:created xsi:type="dcterms:W3CDTF">2019-07-09T13:41:00Z</dcterms:created>
  <dcterms:modified xsi:type="dcterms:W3CDTF">2019-07-16T13:18:00Z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